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Дадобоева Тошмухамада Туйчибоевича</w:t>
      </w:r>
      <w:r>
        <w:rPr>
          <w:rFonts w:ascii="Times New Roman" w:eastAsia="Times New Roman" w:hAnsi="Times New Roman" w:cs="Times New Roman"/>
          <w:sz w:val="26"/>
          <w:szCs w:val="26"/>
        </w:rPr>
        <w:t xml:space="preserve">, </w:t>
      </w:r>
      <w:r>
        <w:rPr>
          <w:rStyle w:val="cat-UserDefinedgrp-31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Дадобоев Т.Т.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15.05.2024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15:48</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924</w:t>
      </w:r>
      <w:r>
        <w:rPr>
          <w:rFonts w:ascii="Times New Roman" w:eastAsia="Times New Roman" w:hAnsi="Times New Roman" w:cs="Times New Roman"/>
          <w:sz w:val="26"/>
          <w:szCs w:val="26"/>
        </w:rPr>
        <w:t xml:space="preserve"> км</w:t>
      </w:r>
      <w:r>
        <w:rPr>
          <w:rFonts w:ascii="Times New Roman" w:eastAsia="Times New Roman" w:hAnsi="Times New Roman" w:cs="Times New Roman"/>
          <w:sz w:val="26"/>
          <w:szCs w:val="26"/>
        </w:rPr>
        <w:t xml:space="preserve"> автодороги</w:t>
      </w:r>
      <w:r>
        <w:rPr>
          <w:rFonts w:ascii="Times New Roman" w:eastAsia="Times New Roman" w:hAnsi="Times New Roman" w:cs="Times New Roman"/>
          <w:sz w:val="26"/>
          <w:szCs w:val="26"/>
        </w:rPr>
        <w:t xml:space="preserve"> Р404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 транспортным средством марки «</w:t>
      </w:r>
      <w:r>
        <w:rPr>
          <w:rStyle w:val="cat-UserDefinedgrp-32rplc-1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3rplc-18"/>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05.06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Дадобоева Т.Т.</w:t>
      </w:r>
      <w:r>
        <w:rPr>
          <w:rFonts w:ascii="Times New Roman" w:eastAsia="Times New Roman" w:hAnsi="Times New Roman" w:cs="Times New Roman"/>
          <w:sz w:val="26"/>
          <w:szCs w:val="26"/>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№6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Дадобоев Т.Т.</w:t>
      </w:r>
      <w:r>
        <w:rPr>
          <w:rFonts w:ascii="Times New Roman" w:eastAsia="Times New Roman" w:hAnsi="Times New Roman" w:cs="Times New Roman"/>
          <w:sz w:val="26"/>
          <w:szCs w:val="26"/>
        </w:rPr>
        <w:t xml:space="preserve"> не присутствовал; о месте, дате и времени рассмотрения </w:t>
      </w:r>
      <w:r>
        <w:rPr>
          <w:rFonts w:ascii="Times New Roman" w:eastAsia="Times New Roman" w:hAnsi="Times New Roman" w:cs="Times New Roman"/>
          <w:sz w:val="26"/>
          <w:szCs w:val="26"/>
        </w:rPr>
        <w:t>дела извещен надлежащим образом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sms</w:t>
      </w:r>
      <w:r>
        <w:rPr>
          <w:rFonts w:ascii="Times New Roman" w:eastAsia="Times New Roman" w:hAnsi="Times New Roman" w:cs="Times New Roman"/>
          <w:sz w:val="26"/>
          <w:szCs w:val="26"/>
        </w:rPr>
        <w:t>-уведомлением 21.06.2024 (согласие имеется в материалах дела)</w:t>
      </w:r>
      <w:r>
        <w:rPr>
          <w:rFonts w:ascii="Times New Roman" w:eastAsia="Times New Roman" w:hAnsi="Times New Roman" w:cs="Times New Roman"/>
          <w:sz w:val="26"/>
          <w:szCs w:val="26"/>
        </w:rPr>
        <w:t>. О причинах неявки не сообщил, об отложении рассмотрения дела не просил, иных ходатайств не заявил.</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Дадобоева Т.Т.</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исследовав приложенные материалы дела, просмотрев видеозаписи на одном цифровом носителе, мировой судья пришел к выводу о наличии события административного </w:t>
      </w:r>
      <w:r>
        <w:rPr>
          <w:rFonts w:ascii="Times New Roman" w:eastAsia="Times New Roman" w:hAnsi="Times New Roman" w:cs="Times New Roman"/>
          <w:sz w:val="26"/>
          <w:szCs w:val="26"/>
        </w:rPr>
        <w:t xml:space="preserve">правонарушения, предусмотренного ч. 4 ст. 12.15 КоАП РФ, и виновности </w:t>
      </w:r>
      <w:r>
        <w:rPr>
          <w:rFonts w:ascii="Times New Roman" w:eastAsia="Times New Roman" w:hAnsi="Times New Roman" w:cs="Times New Roman"/>
          <w:sz w:val="26"/>
          <w:szCs w:val="26"/>
        </w:rPr>
        <w:t>Дадобоева Т.Т.</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Дадобоева Т.Т.</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Fonts w:ascii="Times New Roman" w:eastAsia="Times New Roman" w:hAnsi="Times New Roman" w:cs="Times New Roman"/>
          <w:sz w:val="26"/>
          <w:szCs w:val="26"/>
        </w:rPr>
        <w:t>15.05.2024</w:t>
      </w:r>
      <w:r>
        <w:rPr>
          <w:rFonts w:ascii="Times New Roman" w:eastAsia="Times New Roman" w:hAnsi="Times New Roman" w:cs="Times New Roman"/>
          <w:sz w:val="26"/>
          <w:szCs w:val="26"/>
        </w:rPr>
        <w:t xml:space="preserve"> 86ХМ №</w:t>
      </w:r>
      <w:r>
        <w:rPr>
          <w:rFonts w:ascii="Times New Roman" w:eastAsia="Times New Roman" w:hAnsi="Times New Roman" w:cs="Times New Roman"/>
          <w:sz w:val="26"/>
          <w:szCs w:val="26"/>
        </w:rPr>
        <w:t>591115</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924</w:t>
      </w:r>
      <w:r>
        <w:rPr>
          <w:rFonts w:ascii="Times New Roman" w:eastAsia="Times New Roman" w:hAnsi="Times New Roman" w:cs="Times New Roman"/>
          <w:sz w:val="26"/>
          <w:szCs w:val="26"/>
        </w:rPr>
        <w:t xml:space="preserve"> км автодороги Р404 Тюмень-Тобольск-Ханты-Мансийск Ханты-Мансийского автономного округа - Югры</w:t>
      </w:r>
      <w:r>
        <w:rPr>
          <w:rFonts w:ascii="Times New Roman" w:eastAsia="Times New Roman" w:hAnsi="Times New Roman" w:cs="Times New Roman"/>
          <w:sz w:val="26"/>
          <w:szCs w:val="26"/>
        </w:rPr>
        <w:t xml:space="preserve">, из </w:t>
      </w:r>
      <w:r>
        <w:rPr>
          <w:rFonts w:ascii="Times New Roman" w:eastAsia="Times New Roman" w:hAnsi="Times New Roman" w:cs="Times New Roman"/>
          <w:sz w:val="26"/>
          <w:szCs w:val="26"/>
        </w:rPr>
        <w:t>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Дадобоева Т.Т.</w:t>
      </w:r>
    </w:p>
    <w:p>
      <w:pPr>
        <w:spacing w:before="0" w:after="0"/>
        <w:ind w:firstLine="709"/>
        <w:jc w:val="both"/>
        <w:rPr>
          <w:sz w:val="26"/>
          <w:szCs w:val="26"/>
        </w:rPr>
      </w:pPr>
      <w:r>
        <w:rPr>
          <w:rFonts w:ascii="Times New Roman" w:eastAsia="Times New Roman" w:hAnsi="Times New Roman" w:cs="Times New Roman"/>
          <w:sz w:val="26"/>
          <w:szCs w:val="26"/>
        </w:rPr>
        <w:t>- видеозаписью.</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Дадобоев Т.Т.</w:t>
      </w:r>
      <w:r>
        <w:rPr>
          <w:rFonts w:ascii="Times New Roman" w:eastAsia="Times New Roman" w:hAnsi="Times New Roman" w:cs="Times New Roman"/>
          <w:sz w:val="26"/>
          <w:szCs w:val="26"/>
        </w:rPr>
        <w:t xml:space="preserve"> при управлении транспортным средством не проявил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Дадобоева Т.Т.</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Дадобоев Т.Т.</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Дадобоева Т.Т.</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Смягчающих ответственность обстоятельств судом не установлено.</w:t>
      </w:r>
    </w:p>
    <w:p>
      <w:pPr>
        <w:spacing w:before="0" w:after="0"/>
        <w:ind w:firstLine="709"/>
        <w:jc w:val="both"/>
        <w:rPr>
          <w:sz w:val="26"/>
          <w:szCs w:val="26"/>
        </w:rPr>
      </w:pPr>
      <w:r>
        <w:rPr>
          <w:rFonts w:ascii="Times New Roman" w:eastAsia="Times New Roman" w:hAnsi="Times New Roman" w:cs="Times New Roman"/>
          <w:sz w:val="26"/>
          <w:szCs w:val="26"/>
        </w:rPr>
        <w:t>Ранее Дадобоев Т.Т. привлекался к административной ответственности за совершение однородного правонарушения, что в соответствии с п. 2 ч. 1 ст. 4.3 КоАП РФ является обстоятельством, отягчающим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Дадобоеву Т.Т.</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лица, его </w:t>
      </w:r>
      <w:r>
        <w:rPr>
          <w:rFonts w:ascii="Times New Roman" w:eastAsia="Times New Roman" w:hAnsi="Times New Roman" w:cs="Times New Roman"/>
          <w:sz w:val="26"/>
          <w:szCs w:val="26"/>
        </w:rPr>
        <w:t xml:space="preserve">имущественное положение, а также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смягчающих и</w:t>
      </w:r>
      <w:r>
        <w:rPr>
          <w:rFonts w:ascii="Times New Roman" w:eastAsia="Times New Roman" w:hAnsi="Times New Roman" w:cs="Times New Roman"/>
          <w:sz w:val="26"/>
          <w:szCs w:val="26"/>
        </w:rPr>
        <w:t xml:space="preserve"> наличие</w:t>
      </w:r>
      <w:r>
        <w:rPr>
          <w:rFonts w:ascii="Times New Roman" w:eastAsia="Times New Roman" w:hAnsi="Times New Roman" w:cs="Times New Roman"/>
          <w:sz w:val="26"/>
          <w:szCs w:val="26"/>
        </w:rPr>
        <w:t xml:space="preserve"> 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Учитывая изложенное и руководствуясь ст.ст.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Дадобоева Тошмухамада Туйчибоевича </w:t>
      </w:r>
      <w:r>
        <w:rPr>
          <w:rFonts w:ascii="Times New Roman" w:eastAsia="Times New Roman" w:hAnsi="Times New Roman" w:cs="Times New Roman"/>
          <w:sz w:val="26"/>
          <w:szCs w:val="26"/>
        </w:rPr>
        <w:t>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18810486240910009201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№6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каб.115.</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1rplc-7">
    <w:name w:val="cat-UserDefined grp-31 rplc-7"/>
    <w:basedOn w:val="DefaultParagraphFont"/>
  </w:style>
  <w:style w:type="character" w:customStyle="1" w:styleId="cat-UserDefinedgrp-32rplc-17">
    <w:name w:val="cat-UserDefined grp-32 rplc-17"/>
    <w:basedOn w:val="DefaultParagraphFont"/>
  </w:style>
  <w:style w:type="character" w:customStyle="1" w:styleId="cat-UserDefinedgrp-33rplc-18">
    <w:name w:val="cat-UserDefined grp-33 rplc-18"/>
    <w:basedOn w:val="DefaultParagraphFont"/>
  </w:style>
  <w:style w:type="character" w:customStyle="1" w:styleId="cat-UserDefinedgrp-34rplc-54">
    <w:name w:val="cat-UserDefined grp-34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